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88CC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Style w:val="5"/>
          <w:rFonts w:ascii="Times New Roman" w:hAnsi="Times New Roman" w:eastAsia="微软雅黑" w:cs="Times New Roman"/>
          <w:sz w:val="30"/>
          <w:szCs w:val="30"/>
        </w:rPr>
      </w:pPr>
      <w:r>
        <w:rPr>
          <w:rFonts w:hint="eastAsia" w:ascii="微软雅黑" w:hAnsi="微软雅黑" w:eastAsia="微软雅黑" w:cs="微软雅黑"/>
          <w:b/>
          <w:bCs/>
          <w:kern w:val="0"/>
          <w:sz w:val="32"/>
          <w:szCs w:val="32"/>
        </w:rPr>
        <w:t>“同位素变革性生产技术”抢占制高点专项</w:t>
      </w:r>
    </w:p>
    <w:p w14:paraId="3F8C9D2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eastAsia="微软雅黑" w:cs="Times New Roman"/>
          <w:b/>
          <w:bCs/>
          <w:kern w:val="0"/>
          <w:sz w:val="28"/>
          <w:szCs w:val="28"/>
          <w14:ligatures w14:val="none"/>
        </w:rPr>
      </w:pPr>
      <w:r>
        <w:rPr>
          <w:rStyle w:val="5"/>
          <w:rFonts w:ascii="Times New Roman" w:hAnsi="Times New Roman" w:eastAsia="微软雅黑" w:cs="Times New Roman"/>
          <w:sz w:val="28"/>
          <w:szCs w:val="28"/>
        </w:rPr>
        <w:t>子课题指南</w:t>
      </w:r>
      <w:r>
        <w:rPr>
          <w:rStyle w:val="5"/>
          <w:rFonts w:hint="eastAsia" w:ascii="Times New Roman" w:hAnsi="Times New Roman" w:eastAsia="微软雅黑" w:cs="Times New Roman"/>
          <w:sz w:val="28"/>
          <w:szCs w:val="28"/>
          <w:lang w:eastAsia="zh-CN"/>
        </w:rPr>
        <w:t>：</w:t>
      </w:r>
      <w:r>
        <w:rPr>
          <w:rFonts w:ascii="Times New Roman" w:hAnsi="Times New Roman" w:eastAsia="微软雅黑" w:cs="Times New Roman"/>
          <w:b/>
          <w:bCs/>
          <w:kern w:val="0"/>
          <w:sz w:val="28"/>
          <w:szCs w:val="28"/>
          <w14:ligatures w14:val="none"/>
        </w:rPr>
        <w:t>基于输运模型的同位素产生截面研究和程序开发</w:t>
      </w:r>
      <w:r>
        <w:rPr>
          <w:rFonts w:hint="eastAsia" w:ascii="Times New Roman" w:hAnsi="Times New Roman" w:eastAsia="微软雅黑" w:cs="Times New Roman"/>
          <w:b/>
          <w:bCs/>
          <w:kern w:val="0"/>
          <w:sz w:val="28"/>
          <w:szCs w:val="28"/>
          <w14:ligatures w14:val="none"/>
        </w:rPr>
        <w:t>GJ10030209</w:t>
      </w:r>
    </w:p>
    <w:p w14:paraId="7D673E0D">
      <w:pPr>
        <w:keepNext w:val="0"/>
        <w:keepLines w:val="0"/>
        <w:pageBreakBefore w:val="0"/>
        <w:kinsoku/>
        <w:wordWrap/>
        <w:overflowPunct/>
        <w:topLinePunct w:val="0"/>
        <w:autoSpaceDE/>
        <w:autoSpaceDN/>
        <w:bidi w:val="0"/>
        <w:adjustRightInd/>
        <w:snapToGrid/>
        <w:spacing w:beforeAutospacing="0" w:after="0" w:afterAutospacing="0" w:line="360" w:lineRule="auto"/>
        <w:jc w:val="both"/>
        <w:textAlignment w:val="auto"/>
        <w:rPr>
          <w:rFonts w:hint="eastAsia"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研究目标：</w:t>
      </w:r>
    </w:p>
    <w:p w14:paraId="107638E4">
      <w:pPr>
        <w:keepNext w:val="0"/>
        <w:keepLines w:val="0"/>
        <w:pageBreakBefore w:val="0"/>
        <w:kinsoku/>
        <w:wordWrap/>
        <w:overflowPunct/>
        <w:topLinePunct w:val="0"/>
        <w:autoSpaceDE/>
        <w:autoSpaceDN/>
        <w:bidi w:val="0"/>
        <w:adjustRightInd/>
        <w:snapToGrid/>
        <w:spacing w:beforeAutospacing="0" w:after="0" w:afterAutospacing="0" w:line="360" w:lineRule="auto"/>
        <w:ind w:firstLine="560" w:firstLineChars="200"/>
        <w:jc w:val="both"/>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基于微观输运模型研究散裂反应和中高能重离子碰撞中团簇产生动力学机制，引入多体散射包括核子-核子、核子团簇和团簇-团簇碰撞及团簇输运演化动力学过程，考虑结合能、泡利不相容原理、Mott效应等，给出轻核产生相空间分布。结合人工智能和蒙特卡洛方法，研究多部级联核反应动力学，高精度计算散裂反应和重离子核反应产生医用同位素截面和相空间分布，配合制靶技术高效提升同位素产额。发展基于手征有效场的核子-核子相互作用和核子波函数反对称化的微观输运模型，研究利用强流重离子加速器HIAF束流生产同位素微观物理机理。</w:t>
      </w:r>
    </w:p>
    <w:p w14:paraId="19EDD7C6">
      <w:pPr>
        <w:keepNext w:val="0"/>
        <w:keepLines w:val="0"/>
        <w:pageBreakBefore w:val="0"/>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考核指标：</w:t>
      </w:r>
    </w:p>
    <w:p w14:paraId="22713422">
      <w:pPr>
        <w:keepNext w:val="0"/>
        <w:keepLines w:val="0"/>
        <w:pageBreakBefore w:val="0"/>
        <w:kinsoku/>
        <w:wordWrap/>
        <w:overflowPunct/>
        <w:topLinePunct w:val="0"/>
        <w:autoSpaceDE/>
        <w:autoSpaceDN/>
        <w:bidi w:val="0"/>
        <w:adjustRightInd/>
        <w:snapToGrid/>
        <w:spacing w:beforeAutospacing="0" w:after="0" w:afterAutospacing="0" w:line="360" w:lineRule="auto"/>
        <w:ind w:firstLine="560" w:firstLineChars="200"/>
        <w:jc w:val="both"/>
        <w:textAlignment w:val="auto"/>
        <w:rPr>
          <w:rFonts w:ascii="Times New Roman" w:hAnsi="Times New Roman" w:eastAsia="仿宋_GB2312" w:cs="Times New Roman"/>
          <w:b/>
          <w:bCs/>
          <w:sz w:val="28"/>
          <w:szCs w:val="28"/>
        </w:rPr>
      </w:pPr>
      <w:r>
        <w:rPr>
          <w:rFonts w:ascii="Times New Roman" w:hAnsi="Times New Roman" w:eastAsia="仿宋_GB2312" w:cs="Times New Roman"/>
          <w:sz w:val="28"/>
          <w:szCs w:val="28"/>
        </w:rPr>
        <w:t>研究质子和</w:t>
      </w:r>
      <w:r>
        <w:rPr>
          <w:rFonts w:hint="eastAsia" w:ascii="Times New Roman" w:hAnsi="Times New Roman" w:eastAsia="仿宋_GB2312" w:cs="Times New Roman"/>
          <w:sz w:val="28"/>
          <w:szCs w:val="28"/>
        </w:rPr>
        <w:t>氦束</w:t>
      </w:r>
      <w:r>
        <w:rPr>
          <w:rFonts w:ascii="Times New Roman" w:hAnsi="Times New Roman" w:eastAsia="仿宋_GB2312" w:cs="Times New Roman"/>
          <w:sz w:val="28"/>
          <w:szCs w:val="28"/>
        </w:rPr>
        <w:t>引起的核反应同位素产生截面；重离子核反应同位素产生截面和轻核能谱分布；</w:t>
      </w:r>
      <w:r>
        <w:rPr>
          <w:rFonts w:hint="eastAsia" w:ascii="Times New Roman" w:hAnsi="Times New Roman" w:eastAsia="仿宋_GB2312" w:cs="Times New Roman"/>
          <w:sz w:val="28"/>
          <w:szCs w:val="28"/>
        </w:rPr>
        <w:t>建立</w:t>
      </w:r>
      <w:r>
        <w:rPr>
          <w:rFonts w:hint="eastAsia" w:ascii="Times New Roman" w:hAnsi="Times New Roman" w:eastAsia="仿宋" w:cs="Times New Roman"/>
          <w:bCs/>
          <w:sz w:val="28"/>
        </w:rPr>
        <w:t>锕</w:t>
      </w:r>
      <w:r>
        <w:rPr>
          <w:rFonts w:ascii="Times New Roman" w:hAnsi="Times New Roman" w:eastAsia="仿宋" w:cs="Times New Roman"/>
          <w:bCs/>
          <w:sz w:val="28"/>
        </w:rPr>
        <w:t>-225</w:t>
      </w:r>
      <w:r>
        <w:rPr>
          <w:rFonts w:hint="eastAsia" w:ascii="Times New Roman" w:hAnsi="Times New Roman" w:eastAsia="仿宋_GB2312" w:cs="Times New Roman"/>
          <w:sz w:val="28"/>
          <w:szCs w:val="28"/>
        </w:rPr>
        <w:t>等同位素产生截面数据集。完成</w:t>
      </w:r>
      <w:r>
        <w:rPr>
          <w:rFonts w:ascii="Times New Roman" w:hAnsi="Times New Roman" w:eastAsia="仿宋_GB2312" w:cs="Times New Roman"/>
          <w:sz w:val="28"/>
          <w:szCs w:val="28"/>
        </w:rPr>
        <w:t>应用厚靶的散裂反应模拟</w:t>
      </w:r>
      <w:r>
        <w:rPr>
          <w:rFonts w:hint="eastAsia" w:ascii="Times New Roman" w:hAnsi="Times New Roman" w:eastAsia="仿宋_GB2312" w:cs="Times New Roman"/>
          <w:sz w:val="28"/>
          <w:szCs w:val="28"/>
        </w:rPr>
        <w:t>程序开发和厚靶产额分析，并完成与实验数据的校核和程序优化</w:t>
      </w:r>
      <w:r>
        <w:rPr>
          <w:rFonts w:ascii="Times New Roman" w:hAnsi="Times New Roman" w:eastAsia="仿宋_GB2312" w:cs="Times New Roman"/>
          <w:sz w:val="28"/>
          <w:szCs w:val="28"/>
        </w:rPr>
        <w:t>；发表同位素生产物理和技术相关的学术论文5篇以上</w:t>
      </w:r>
      <w:r>
        <w:rPr>
          <w:rFonts w:ascii="Times New Roman" w:hAnsi="Times New Roman" w:eastAsia="仿宋_GB2312" w:cs="Times New Roman"/>
          <w:b/>
          <w:bCs/>
          <w:sz w:val="28"/>
          <w:szCs w:val="28"/>
        </w:rPr>
        <w:t>。</w:t>
      </w:r>
    </w:p>
    <w:p w14:paraId="6BE9C3C2">
      <w:pPr>
        <w:keepNext w:val="0"/>
        <w:keepLines w:val="0"/>
        <w:pageBreakBefore w:val="0"/>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交付内容：</w:t>
      </w:r>
    </w:p>
    <w:p w14:paraId="0207C74A">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基于不同输运理论的锕</w:t>
      </w:r>
      <w:r>
        <w:rPr>
          <w:rFonts w:hint="eastAsia" w:ascii="Times New Roman" w:hAnsi="Times New Roman" w:eastAsia="仿宋" w:cs="Times New Roman"/>
          <w:bCs/>
          <w:sz w:val="28"/>
        </w:rPr>
        <w:t>-225</w:t>
      </w:r>
      <w:r>
        <w:rPr>
          <w:rFonts w:hint="eastAsia" w:ascii="Times New Roman" w:hAnsi="Times New Roman" w:eastAsia="仿宋_GB2312" w:cs="Times New Roman"/>
          <w:sz w:val="28"/>
          <w:szCs w:val="28"/>
        </w:rPr>
        <w:t>等医用同位素产生截面和入射粒子能量依赖关系分析报告和截面数据集；</w:t>
      </w:r>
      <w:bookmarkStart w:id="0" w:name="_GoBack"/>
      <w:bookmarkEnd w:id="0"/>
    </w:p>
    <w:p w14:paraId="7F75253D">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应用厚靶的散裂反应模拟程序以及可靠性验证报告；</w:t>
      </w:r>
    </w:p>
    <w:p w14:paraId="4C22A0AE">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厚靶产额分析报告；</w:t>
      </w:r>
    </w:p>
    <w:p w14:paraId="677B0601">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同位素生产相关学术论文</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篇以上。</w:t>
      </w:r>
    </w:p>
    <w:p w14:paraId="6DEC835B">
      <w:pPr>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Times New Roman" w:hAnsi="Times New Roman" w:eastAsia="仿宋" w:cs="Times New Roman"/>
          <w:bCs/>
          <w:sz w:val="28"/>
        </w:rPr>
      </w:pPr>
      <w:r>
        <w:rPr>
          <w:rFonts w:ascii="Times New Roman" w:hAnsi="Times New Roman" w:eastAsia="仿宋_GB2312" w:cs="Times New Roman"/>
          <w:b/>
          <w:bCs/>
          <w:sz w:val="28"/>
          <w:szCs w:val="28"/>
        </w:rPr>
        <w:t>执行期限：</w:t>
      </w:r>
      <w:r>
        <w:rPr>
          <w:rFonts w:hint="eastAsia" w:ascii="Times New Roman" w:hAnsi="Times New Roman" w:eastAsia="仿宋" w:cs="Times New Roman"/>
          <w:bCs/>
          <w:sz w:val="28"/>
        </w:rPr>
        <w:t>2025年-2028年</w:t>
      </w:r>
    </w:p>
    <w:p w14:paraId="257831DF">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eastAsia="仿宋_GB2312"/>
          <w:sz w:val="28"/>
          <w:szCs w:val="28"/>
        </w:rPr>
      </w:pPr>
      <w:r>
        <w:rPr>
          <w:rFonts w:ascii="Times New Roman" w:hAnsi="Times New Roman" w:eastAsia="仿宋_GB2312"/>
          <w:b/>
          <w:bCs/>
          <w:sz w:val="28"/>
          <w:szCs w:val="28"/>
        </w:rPr>
        <w:t>遴选方式：</w:t>
      </w:r>
      <w:r>
        <w:rPr>
          <w:rFonts w:ascii="Times New Roman" w:hAnsi="Times New Roman" w:eastAsia="仿宋_GB2312"/>
          <w:sz w:val="28"/>
          <w:szCs w:val="28"/>
        </w:rPr>
        <w:t>公开征集</w:t>
      </w:r>
    </w:p>
    <w:p w14:paraId="0F1DFC93">
      <w:pPr>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Times New Roman" w:hAnsi="Times New Roman" w:eastAsia="仿宋" w:cs="Times New Roman"/>
          <w:bCs/>
          <w:sz w:val="28"/>
        </w:rPr>
      </w:pPr>
      <w:r>
        <w:rPr>
          <w:rFonts w:ascii="Times New Roman" w:hAnsi="Times New Roman" w:eastAsia="仿宋_GB2312" w:cs="Times New Roman"/>
          <w:b/>
          <w:bCs/>
          <w:sz w:val="28"/>
          <w:szCs w:val="28"/>
        </w:rPr>
        <w:t>研究经费：</w:t>
      </w:r>
      <w:r>
        <w:rPr>
          <w:rFonts w:hint="eastAsia" w:ascii="Times New Roman" w:hAnsi="Times New Roman" w:eastAsia="仿宋" w:cs="Times New Roman"/>
          <w:bCs/>
          <w:sz w:val="28"/>
        </w:rPr>
        <w:t>70万元</w:t>
      </w:r>
    </w:p>
    <w:p w14:paraId="0C6F4E99">
      <w:pPr>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Times New Roman" w:hAnsi="Times New Roman" w:eastAsia="仿宋" w:cs="Times New Roman"/>
          <w:bCs/>
          <w:sz w:val="28"/>
        </w:rPr>
      </w:pPr>
      <w:r>
        <w:rPr>
          <w:rFonts w:hint="eastAsia" w:ascii="Times New Roman" w:hAnsi="Times New Roman" w:eastAsia="仿宋_GB2312" w:cs="Times New Roman"/>
          <w:b/>
          <w:bCs/>
          <w:sz w:val="28"/>
          <w:szCs w:val="28"/>
          <w:lang w:val="en-US" w:eastAsia="zh-CN"/>
        </w:rPr>
        <w:t>联系方式</w:t>
      </w:r>
      <w:r>
        <w:rPr>
          <w:rFonts w:hint="eastAsia" w:ascii="Times New Roman" w:hAnsi="Times New Roman" w:eastAsia="仿宋_GB2312" w:cs="Times New Roman"/>
          <w:b/>
          <w:bCs/>
          <w:sz w:val="28"/>
          <w:szCs w:val="28"/>
        </w:rPr>
        <w:t>：</w:t>
      </w:r>
      <w:r>
        <w:rPr>
          <w:rFonts w:hint="eastAsia" w:ascii="Times New Roman" w:hAnsi="Times New Roman" w:eastAsia="仿宋_GB2312" w:cs="Times New Roman"/>
          <w:sz w:val="28"/>
          <w:szCs w:val="28"/>
        </w:rPr>
        <w:t>高育翠</w:t>
      </w:r>
      <w:r>
        <w:rPr>
          <w:rFonts w:ascii="Times New Roman" w:hAnsi="Times New Roman" w:eastAsia="仿宋_GB2312" w:cs="Times New Roman"/>
          <w:sz w:val="28"/>
          <w:szCs w:val="28"/>
        </w:rPr>
        <w:t xml:space="preserve"> </w:t>
      </w:r>
      <w:r>
        <w:rPr>
          <w:rFonts w:hint="eastAsia" w:ascii="Times New Roman" w:hAnsi="Times New Roman" w:eastAsia="仿宋" w:cs="Times New Roman"/>
          <w:bCs/>
          <w:sz w:val="28"/>
        </w:rPr>
        <w:t>gaoyucui@impcas.ac.cn</w:t>
      </w:r>
    </w:p>
    <w:p w14:paraId="5A14A0D3">
      <w:pPr>
        <w:keepNext w:val="0"/>
        <w:keepLines w:val="0"/>
        <w:pageBreakBefore w:val="0"/>
        <w:widowControl/>
        <w:kinsoku/>
        <w:wordWrap/>
        <w:overflowPunct/>
        <w:topLinePunct w:val="0"/>
        <w:autoSpaceDE/>
        <w:autoSpaceDN/>
        <w:bidi w:val="0"/>
        <w:adjustRightInd/>
        <w:snapToGrid/>
        <w:spacing w:after="0" w:line="360" w:lineRule="auto"/>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12018"/>
    <w:multiLevelType w:val="singleLevel"/>
    <w:tmpl w:val="3C5120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94DC0"/>
    <w:rsid w:val="09532A47"/>
    <w:rsid w:val="150D7C16"/>
    <w:rsid w:val="20FA2E1B"/>
    <w:rsid w:val="623125A3"/>
    <w:rsid w:val="64094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line="240" w:lineRule="auto"/>
    </w:pPr>
    <w:rPr>
      <w:rFonts w:ascii="Calibri" w:hAnsi="Calibri" w:eastAsia="宋体" w:cs="Times New Roman"/>
      <w:kern w:val="0"/>
      <w:sz w:val="24"/>
      <w14:ligatures w14:val="none"/>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316;&#20219;&#21153;\&#19987;&#39033;&#20854;&#20182;&#24037;&#20316;\20251104-&#26680;&#23545;-&#23376;&#35838;&#39064;&#25351;&#21335;\&#39033;&#30446;&#19977;&#35838;&#39064;&#25351;&#21335;\&#39033;&#30446;&#19968;&#32463;&#36153;&#25191;&#34892;&#35745;&#21010;&#34920;(11&#12289;12&#26376;)20251106.xlsx.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项目一经费执行计划表(11、12月)20251106.xlsx.dotx</Template>
  <Pages>2</Pages>
  <Words>555</Words>
  <Characters>604</Characters>
  <Lines>0</Lines>
  <Paragraphs>0</Paragraphs>
  <TotalTime>14</TotalTime>
  <ScaleCrop>false</ScaleCrop>
  <LinksUpToDate>false</LinksUpToDate>
  <CharactersWithSpaces>605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2025-11-07T02:36:00Z</dcterms:created>
  <dc:creator>鲁雲</dc:creator>
  <cp:lastModifiedBy>鲁雲</cp:lastModifiedBy>
  <dcterms:modified xsi:type="dcterms:W3CDTF">2025-11-07T05:48:11Z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5F9FA6E5295E4D0F96DAC8FB8545FEB0_11</vt:lpwstr>
  </property>
  <property fmtid="{D5CDD505-2E9C-101B-9397-08002B2CF9AE}" pid="4" name="KSOTemplateDocerSaveRecord">
    <vt:lpwstr>eyJoZGlkIjoiYjU2ZmRlYjM0NWRlMDYyZDg2NTFiZDQ2OWQxNDE0YzciLCJ1c2VySWQiOiIzOTkzMDgzNTEifQ==</vt:lpwstr>
  </property>
</Properties>
</file>