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BFF99">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auto"/>
        <w:rPr>
          <w:rStyle w:val="5"/>
          <w:rFonts w:ascii="Times New Roman" w:hAnsi="Times New Roman" w:eastAsia="微软雅黑" w:cs="Times New Roman"/>
          <w:sz w:val="32"/>
          <w:szCs w:val="32"/>
        </w:rPr>
      </w:pPr>
      <w:r>
        <w:rPr>
          <w:rFonts w:hint="eastAsia" w:ascii="微软雅黑" w:hAnsi="微软雅黑" w:eastAsia="微软雅黑" w:cs="微软雅黑"/>
          <w:b/>
          <w:bCs/>
          <w:kern w:val="0"/>
          <w:sz w:val="32"/>
          <w:szCs w:val="32"/>
        </w:rPr>
        <w:t>“同位素变革性生产技术”抢占制高点专项</w:t>
      </w:r>
    </w:p>
    <w:p w14:paraId="223594B5">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center"/>
        <w:textAlignment w:val="auto"/>
        <w:rPr>
          <w:rStyle w:val="5"/>
          <w:rFonts w:hint="default" w:ascii="Times New Roman" w:hAnsi="Times New Roman" w:eastAsia="微软雅黑" w:cs="Times New Roman"/>
          <w:sz w:val="28"/>
          <w:szCs w:val="28"/>
        </w:rPr>
      </w:pPr>
      <w:r>
        <w:rPr>
          <w:rStyle w:val="5"/>
          <w:rFonts w:hint="default" w:ascii="Times New Roman" w:hAnsi="Times New Roman" w:eastAsia="微软雅黑" w:cs="Times New Roman"/>
          <w:sz w:val="28"/>
          <w:szCs w:val="28"/>
        </w:rPr>
        <w:t>子课题指南-</w:t>
      </w:r>
      <w:r>
        <w:rPr>
          <w:rFonts w:hint="default" w:ascii="Times New Roman" w:hAnsi="Times New Roman" w:eastAsia="微软雅黑" w:cs="Times New Roman"/>
          <w:sz w:val="28"/>
          <w:szCs w:val="28"/>
        </w:rPr>
        <w:t xml:space="preserve"> </w:t>
      </w:r>
      <w:r>
        <w:rPr>
          <w:rFonts w:hint="default" w:ascii="Times New Roman" w:hAnsi="Times New Roman" w:eastAsia="微软雅黑" w:cs="Times New Roman"/>
          <w:b/>
          <w:bCs/>
          <w:kern w:val="0"/>
          <w:sz w:val="28"/>
          <w:szCs w:val="28"/>
          <w14:ligatures w14:val="none"/>
        </w:rPr>
        <w:t>Th-229能级结构及动力学理论研究</w:t>
      </w:r>
      <w:r>
        <w:rPr>
          <w:rFonts w:hint="default" w:ascii="Times New Roman" w:hAnsi="Times New Roman" w:eastAsia="微软雅黑" w:cs="Times New Roman"/>
          <w:b/>
          <w:bCs/>
          <w:sz w:val="28"/>
          <w:szCs w:val="28"/>
        </w:rPr>
        <w:t>GJ10030211</w:t>
      </w:r>
    </w:p>
    <w:p w14:paraId="784647F1">
      <w:pPr>
        <w:keepNext w:val="0"/>
        <w:keepLines w:val="0"/>
        <w:pageBreakBefore w:val="0"/>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研究目标：</w:t>
      </w:r>
    </w:p>
    <w:p w14:paraId="7C96B01A">
      <w:pPr>
        <w:keepNext w:val="0"/>
        <w:keepLines w:val="0"/>
        <w:pageBreakBefore w:val="0"/>
        <w:kinsoku/>
        <w:wordWrap/>
        <w:overflowPunct/>
        <w:topLinePunct w:val="0"/>
        <w:autoSpaceDE/>
        <w:autoSpaceDN/>
        <w:bidi w:val="0"/>
        <w:adjustRightInd/>
        <w:snapToGrid/>
        <w:spacing w:beforeAutospacing="0" w:after="0" w:afterAutospacing="0" w:line="360" w:lineRule="auto"/>
        <w:ind w:firstLine="560" w:firstLineChars="200"/>
        <w:jc w:val="both"/>
        <w:textAlignment w:val="auto"/>
        <w:rPr>
          <w:rFonts w:ascii="Times New Roman" w:hAnsi="Times New Roman" w:eastAsia="仿宋_GB2312" w:cs="Times New Roman"/>
          <w:strike/>
          <w:sz w:val="28"/>
          <w:szCs w:val="28"/>
        </w:rPr>
      </w:pPr>
      <w:r>
        <w:rPr>
          <w:rFonts w:ascii="Times New Roman" w:hAnsi="Times New Roman" w:eastAsia="仿宋_GB2312" w:cs="Times New Roman"/>
          <w:sz w:val="28"/>
          <w:szCs w:val="28"/>
        </w:rPr>
        <w:t>基于已知能级数据，构建适用于描述Th-229能谱统计性质的随机矩阵模型，</w:t>
      </w:r>
      <w:bookmarkStart w:id="0" w:name="_Hlk212127182"/>
      <w:r>
        <w:rPr>
          <w:rFonts w:ascii="Times New Roman" w:hAnsi="Times New Roman" w:eastAsia="仿宋_GB2312" w:cs="Times New Roman"/>
          <w:sz w:val="28"/>
          <w:szCs w:val="28"/>
        </w:rPr>
        <w:t>揭示其低激发态的动力学性质与对称性破缺程度</w:t>
      </w:r>
      <w:bookmarkEnd w:id="0"/>
      <w:r>
        <w:rPr>
          <w:rFonts w:ascii="Times New Roman" w:hAnsi="Times New Roman" w:eastAsia="仿宋_GB2312" w:cs="Times New Roman"/>
          <w:sz w:val="28"/>
          <w:szCs w:val="28"/>
        </w:rPr>
        <w:t>；基于偶然简并的几何与拓扑理论，建立多参数空间的简并点模型，发展Th-229近简并区的能级动力学；以描述核子运动的平均场Dirac方程为理论框架，揭示自旋极化在空间非均匀等效场中的演化规律；开展Th掺杂CaF</w:t>
      </w:r>
      <w:r>
        <w:rPr>
          <w:rFonts w:ascii="Times New Roman" w:hAnsi="Times New Roman" w:eastAsia="仿宋_GB2312" w:cs="Times New Roman"/>
          <w:sz w:val="28"/>
          <w:szCs w:val="28"/>
          <w:vertAlign w:val="subscript"/>
        </w:rPr>
        <w:t>2</w:t>
      </w:r>
      <w:r>
        <w:rPr>
          <w:rFonts w:ascii="Times New Roman" w:hAnsi="Times New Roman" w:eastAsia="仿宋_GB2312" w:cs="Times New Roman"/>
          <w:sz w:val="28"/>
          <w:szCs w:val="28"/>
        </w:rPr>
        <w:t>不同局域位点的形成动力学研究，为提升核钟频率稳定性提供微环境调控方案。最终，结合量子混沌所提供的理论框架和独特视角，为理解Th-229存在极小能隙、实现微环境调控提供新的物理图像与有效模型。</w:t>
      </w:r>
    </w:p>
    <w:p w14:paraId="02096A1B">
      <w:pPr>
        <w:keepNext w:val="0"/>
        <w:keepLines w:val="0"/>
        <w:pageBreakBefore w:val="0"/>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考核指标：</w:t>
      </w:r>
    </w:p>
    <w:p w14:paraId="3BEED92B">
      <w:pPr>
        <w:keepNext w:val="0"/>
        <w:keepLines w:val="0"/>
        <w:pageBreakBefore w:val="0"/>
        <w:kinsoku/>
        <w:wordWrap/>
        <w:overflowPunct/>
        <w:topLinePunct w:val="0"/>
        <w:autoSpaceDE/>
        <w:autoSpaceDN/>
        <w:bidi w:val="0"/>
        <w:adjustRightInd/>
        <w:snapToGrid/>
        <w:spacing w:beforeAutospacing="0" w:after="0" w:afterAutospacing="0" w:line="360" w:lineRule="auto"/>
        <w:ind w:firstLine="560" w:firstLineChars="200"/>
        <w:jc w:val="both"/>
        <w:textAlignment w:val="auto"/>
        <w:rPr>
          <w:rFonts w:ascii="Times New Roman" w:hAnsi="Times New Roman" w:eastAsia="仿宋_GB2312" w:cs="Times New Roman"/>
          <w:sz w:val="28"/>
          <w:szCs w:val="28"/>
        </w:rPr>
      </w:pPr>
      <w:bookmarkStart w:id="1" w:name="_GoBack"/>
      <w:bookmarkEnd w:id="1"/>
      <w:r>
        <w:rPr>
          <w:rFonts w:ascii="Times New Roman" w:hAnsi="Times New Roman" w:eastAsia="仿宋_GB2312" w:cs="Times New Roman"/>
          <w:sz w:val="28"/>
          <w:szCs w:val="28"/>
        </w:rPr>
        <w:t xml:space="preserve">给出恰当的随机矩阵模型，和Th-229能谱统计（如能级间距统计、谱刚度等）的相对偏差&lt;0.1。基于包含四极-八极形变的核结构模型，构建包含≥1种新参数的扩展参数空间，识别出≥1个能级简并点或能级回避交叉区域。研究≥2种等效势场下的螺旋度演化规律，多界面势场中波函数螺旋度变化量的理论值与数值计算结果相对偏差不超过0.1%，数值计算的分段势数量≥10个。构建适用于Th:CaF₂ 的高精度深度势能模型，预测精度优于 </w:t>
      </w:r>
      <m:oMath>
        <m:r>
          <m:rPr>
            <m:nor/>
            <m:sty m:val="p"/>
          </m:rPr>
          <w:rPr>
            <w:rFonts w:hint="default" w:ascii="Times New Roman" w:hAnsi="Times New Roman" w:eastAsia="仿宋_GB2312" w:cs="Times New Roman"/>
            <w:i w:val="0"/>
            <w:sz w:val="28"/>
            <w:szCs w:val="28"/>
          </w:rPr>
          <m:t>5×</m:t>
        </m:r>
        <m:sSup>
          <m:sSupPr>
            <m:ctrlPr>
              <w:rPr>
                <w:rFonts w:hint="default" w:ascii="Cambria Math" w:hAnsi="Cambria Math" w:eastAsia="仿宋_GB2312" w:cs="Times New Roman"/>
                <w:i/>
                <w:sz w:val="28"/>
                <w:szCs w:val="28"/>
              </w:rPr>
            </m:ctrlPr>
          </m:sSupPr>
          <m:e>
            <m:r>
              <m:rPr>
                <m:nor/>
                <m:sty m:val="p"/>
              </m:rPr>
              <w:rPr>
                <w:rFonts w:hint="default" w:ascii="Times New Roman" w:hAnsi="Times New Roman" w:eastAsia="仿宋_GB2312" w:cs="Times New Roman"/>
                <w:i w:val="0"/>
                <w:sz w:val="28"/>
                <w:szCs w:val="28"/>
              </w:rPr>
              <m:t>10</m:t>
            </m:r>
            <m:ctrlPr>
              <w:rPr>
                <w:rFonts w:hint="default" w:ascii="Cambria Math" w:hAnsi="Cambria Math" w:eastAsia="仿宋_GB2312" w:cs="Times New Roman"/>
                <w:i/>
                <w:sz w:val="28"/>
                <w:szCs w:val="28"/>
              </w:rPr>
            </m:ctrlPr>
          </m:e>
          <m:sup>
            <m:r>
              <m:rPr>
                <m:nor/>
                <m:sty m:val="p"/>
              </m:rPr>
              <w:rPr>
                <w:rFonts w:hint="default" w:ascii="Times New Roman" w:hAnsi="Times New Roman" w:eastAsia="仿宋_GB2312" w:cs="Times New Roman"/>
                <w:i w:val="0"/>
                <w:sz w:val="28"/>
                <w:szCs w:val="28"/>
              </w:rPr>
              <m:t>−3</m:t>
            </m:r>
            <m:ctrlPr>
              <w:rPr>
                <w:rFonts w:hint="default" w:ascii="Cambria Math" w:hAnsi="Cambria Math" w:eastAsia="仿宋_GB2312" w:cs="Times New Roman"/>
                <w:i/>
                <w:sz w:val="28"/>
                <w:szCs w:val="28"/>
              </w:rPr>
            </m:ctrlPr>
          </m:sup>
        </m:sSup>
      </m:oMath>
      <w:r>
        <w:rPr>
          <w:rFonts w:ascii="Times New Roman" w:hAnsi="Times New Roman" w:eastAsia="仿宋_GB2312" w:cs="Times New Roman"/>
          <w:sz w:val="28"/>
          <w:szCs w:val="28"/>
        </w:rPr>
        <w:t xml:space="preserve">eV/atom；调控方案需实现频率漂移抑制优于相对频率变化 </w:t>
      </w:r>
      <m:oMath>
        <m:sSup>
          <m:sSupPr>
            <m:ctrlPr>
              <w:rPr>
                <w:rFonts w:hint="default" w:ascii="Cambria Math" w:hAnsi="Cambria Math" w:eastAsia="仿宋_GB2312" w:cs="Times New Roman"/>
                <w:i/>
                <w:sz w:val="28"/>
                <w:szCs w:val="28"/>
              </w:rPr>
            </m:ctrlPr>
          </m:sSupPr>
          <m:e>
            <m:r>
              <m:rPr>
                <m:nor/>
                <m:sty m:val="p"/>
              </m:rPr>
              <w:rPr>
                <w:rFonts w:hint="default" w:ascii="Times New Roman" w:hAnsi="Times New Roman" w:eastAsia="仿宋_GB2312" w:cs="Times New Roman"/>
                <w:i w:val="0"/>
                <w:sz w:val="28"/>
                <w:szCs w:val="28"/>
              </w:rPr>
              <m:t>10</m:t>
            </m:r>
            <m:ctrlPr>
              <w:rPr>
                <w:rFonts w:hint="default" w:ascii="Cambria Math" w:hAnsi="Cambria Math" w:eastAsia="仿宋_GB2312" w:cs="Times New Roman"/>
                <w:i/>
                <w:sz w:val="28"/>
                <w:szCs w:val="28"/>
              </w:rPr>
            </m:ctrlPr>
          </m:e>
          <m:sup>
            <m:r>
              <m:rPr>
                <m:nor/>
                <m:sty m:val="p"/>
              </m:rPr>
              <w:rPr>
                <w:rFonts w:hint="default" w:ascii="Times New Roman" w:hAnsi="Times New Roman" w:eastAsia="仿宋_GB2312" w:cs="Times New Roman"/>
                <w:i w:val="0"/>
                <w:sz w:val="28"/>
                <w:szCs w:val="28"/>
              </w:rPr>
              <m:t>−17</m:t>
            </m:r>
            <m:ctrlPr>
              <w:rPr>
                <w:rFonts w:hint="default" w:ascii="Cambria Math" w:hAnsi="Cambria Math" w:eastAsia="仿宋_GB2312" w:cs="Times New Roman"/>
                <w:i/>
                <w:sz w:val="28"/>
                <w:szCs w:val="28"/>
              </w:rPr>
            </m:ctrlPr>
          </m:sup>
        </m:sSup>
      </m:oMath>
      <w:r>
        <w:rPr>
          <w:rFonts w:hint="default" w:ascii="Times New Roman" w:hAnsi="Times New Roman" w:eastAsia="仿宋_GB2312" w:cs="Times New Roman"/>
          <w:sz w:val="28"/>
          <w:szCs w:val="28"/>
        </w:rPr>
        <w:t>/K。</w:t>
      </w:r>
      <w:r>
        <w:rPr>
          <w:rFonts w:hint="eastAsia" w:ascii="Times New Roman" w:hAnsi="Times New Roman" w:eastAsia="仿宋_GB2312" w:cs="Times New Roman"/>
          <w:sz w:val="28"/>
          <w:szCs w:val="28"/>
        </w:rPr>
        <w:t>给出钍</w:t>
      </w:r>
      <w:r>
        <w:rPr>
          <w:rFonts w:ascii="Times New Roman" w:hAnsi="Times New Roman" w:eastAsia="仿宋_GB2312" w:cs="Times New Roman"/>
          <w:sz w:val="28"/>
          <w:szCs w:val="28"/>
        </w:rPr>
        <w:t>-229能级结构及动力学理论研究报告</w:t>
      </w:r>
      <w:r>
        <w:rPr>
          <w:rFonts w:hint="eastAsia" w:ascii="Times New Roman" w:hAnsi="Times New Roman" w:eastAsia="仿宋_GB2312" w:cs="Times New Roman"/>
          <w:sz w:val="28"/>
          <w:szCs w:val="28"/>
        </w:rPr>
        <w:t>。</w:t>
      </w:r>
    </w:p>
    <w:p w14:paraId="2A37DC28">
      <w:pPr>
        <w:keepNext w:val="0"/>
        <w:keepLines w:val="0"/>
        <w:pageBreakBefore w:val="0"/>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rPr>
        <w:t>交付内容：</w:t>
      </w:r>
    </w:p>
    <w:p w14:paraId="3C05AE7E">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预测精度优于 </w:t>
      </w:r>
      <m:oMath>
        <m:r>
          <m:rPr>
            <m:nor/>
            <m:sty m:val="p"/>
          </m:rPr>
          <w:rPr>
            <w:rFonts w:hint="default" w:ascii="Times New Roman" w:hAnsi="Times New Roman" w:eastAsia="仿宋_GB2312" w:cs="Times New Roman"/>
            <w:i w:val="0"/>
            <w:sz w:val="28"/>
            <w:szCs w:val="28"/>
          </w:rPr>
          <m:t>5×</m:t>
        </m:r>
        <m:sSup>
          <m:sSupPr>
            <m:ctrlPr>
              <w:rPr>
                <w:rFonts w:hint="default" w:ascii="Cambria Math" w:hAnsi="Cambria Math" w:eastAsia="仿宋_GB2312" w:cs="Times New Roman"/>
                <w:i/>
                <w:sz w:val="28"/>
                <w:szCs w:val="28"/>
              </w:rPr>
            </m:ctrlPr>
          </m:sSupPr>
          <m:e>
            <m:r>
              <m:rPr>
                <m:nor/>
                <m:sty m:val="p"/>
              </m:rPr>
              <w:rPr>
                <w:rFonts w:hint="default" w:ascii="Times New Roman" w:hAnsi="Times New Roman" w:eastAsia="仿宋_GB2312" w:cs="Times New Roman"/>
                <w:i w:val="0"/>
                <w:sz w:val="28"/>
                <w:szCs w:val="28"/>
              </w:rPr>
              <m:t>10</m:t>
            </m:r>
            <m:ctrlPr>
              <w:rPr>
                <w:rFonts w:hint="default" w:ascii="Cambria Math" w:hAnsi="Cambria Math" w:eastAsia="仿宋_GB2312" w:cs="Times New Roman"/>
                <w:i/>
                <w:sz w:val="28"/>
                <w:szCs w:val="28"/>
              </w:rPr>
            </m:ctrlPr>
          </m:e>
          <m:sup>
            <m:r>
              <m:rPr>
                <m:nor/>
                <m:sty m:val="p"/>
              </m:rPr>
              <w:rPr>
                <w:rFonts w:hint="default" w:ascii="Times New Roman" w:hAnsi="Times New Roman" w:eastAsia="仿宋_GB2312" w:cs="Times New Roman"/>
                <w:i w:val="0"/>
                <w:sz w:val="28"/>
                <w:szCs w:val="28"/>
              </w:rPr>
              <m:t>−3</m:t>
            </m:r>
            <m:ctrlPr>
              <w:rPr>
                <w:rFonts w:hint="default" w:ascii="Cambria Math" w:hAnsi="Cambria Math" w:eastAsia="仿宋_GB2312" w:cs="Times New Roman"/>
                <w:i/>
                <w:sz w:val="28"/>
                <w:szCs w:val="28"/>
              </w:rPr>
            </m:ctrlPr>
          </m:sup>
        </m:sSup>
      </m:oMath>
      <w:r>
        <w:rPr>
          <w:rFonts w:ascii="Times New Roman" w:hAnsi="Times New Roman" w:eastAsia="仿宋_GB2312" w:cs="Times New Roman"/>
          <w:sz w:val="28"/>
          <w:szCs w:val="28"/>
        </w:rPr>
        <w:t>eV/atom</w:t>
      </w:r>
      <w:r>
        <w:rPr>
          <w:rFonts w:hint="eastAsia" w:ascii="Times New Roman" w:hAnsi="Times New Roman" w:eastAsia="仿宋_GB2312" w:cs="Times New Roman"/>
          <w:sz w:val="28"/>
          <w:szCs w:val="28"/>
        </w:rPr>
        <w:t>且</w:t>
      </w:r>
      <w:r>
        <w:rPr>
          <w:rFonts w:ascii="Times New Roman" w:hAnsi="Times New Roman" w:eastAsia="仿宋_GB2312" w:cs="Times New Roman"/>
          <w:sz w:val="28"/>
          <w:szCs w:val="28"/>
        </w:rPr>
        <w:t>适用于Th:CaF₂ 的高精度深度势能模型</w:t>
      </w:r>
      <w:r>
        <w:rPr>
          <w:rFonts w:hint="eastAsia" w:ascii="Times New Roman" w:hAnsi="Times New Roman" w:eastAsia="仿宋_GB2312" w:cs="Times New Roman"/>
          <w:sz w:val="28"/>
          <w:szCs w:val="28"/>
        </w:rPr>
        <w:t>；</w:t>
      </w:r>
    </w:p>
    <w:p w14:paraId="618686BB">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钍</w:t>
      </w:r>
      <w:r>
        <w:rPr>
          <w:rFonts w:ascii="Times New Roman" w:hAnsi="Times New Roman" w:eastAsia="仿宋_GB2312" w:cs="Times New Roman"/>
          <w:sz w:val="28"/>
          <w:szCs w:val="28"/>
        </w:rPr>
        <w:t>-229能级结构及动力学理论研究报告</w:t>
      </w:r>
      <w:r>
        <w:rPr>
          <w:rFonts w:hint="eastAsia" w:ascii="Times New Roman" w:hAnsi="Times New Roman" w:eastAsia="仿宋_GB2312" w:cs="Times New Roman"/>
          <w:sz w:val="28"/>
          <w:szCs w:val="28"/>
        </w:rPr>
        <w:t>。</w:t>
      </w:r>
    </w:p>
    <w:p w14:paraId="1BE30AD1">
      <w:pPr>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ascii="Times New Roman" w:hAnsi="Times New Roman" w:eastAsia="仿宋_GB2312" w:cs="Times New Roman"/>
          <w:sz w:val="28"/>
          <w:szCs w:val="28"/>
        </w:rPr>
      </w:pPr>
      <w:r>
        <w:rPr>
          <w:rFonts w:ascii="Times New Roman" w:hAnsi="Times New Roman" w:eastAsia="仿宋_GB2312" w:cs="Times New Roman"/>
          <w:b/>
          <w:bCs/>
          <w:sz w:val="28"/>
          <w:szCs w:val="28"/>
        </w:rPr>
        <w:t>执行期限：</w:t>
      </w:r>
      <w:r>
        <w:rPr>
          <w:rFonts w:ascii="Times New Roman" w:hAnsi="Times New Roman" w:eastAsia="仿宋_GB2312" w:cs="Times New Roman"/>
          <w:sz w:val="28"/>
          <w:szCs w:val="28"/>
        </w:rPr>
        <w:t>2025年-2029年</w:t>
      </w:r>
    </w:p>
    <w:p w14:paraId="7022A52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ascii="Times New Roman" w:hAnsi="Times New Roman" w:eastAsia="仿宋_GB2312"/>
          <w:sz w:val="28"/>
          <w:szCs w:val="28"/>
        </w:rPr>
      </w:pPr>
      <w:r>
        <w:rPr>
          <w:rFonts w:ascii="Times New Roman" w:hAnsi="Times New Roman" w:eastAsia="仿宋_GB2312"/>
          <w:b/>
          <w:bCs/>
          <w:sz w:val="28"/>
          <w:szCs w:val="28"/>
        </w:rPr>
        <w:t>遴选方式：</w:t>
      </w:r>
      <w:r>
        <w:rPr>
          <w:rFonts w:ascii="Times New Roman" w:hAnsi="Times New Roman" w:eastAsia="仿宋_GB2312"/>
          <w:sz w:val="28"/>
          <w:szCs w:val="28"/>
        </w:rPr>
        <w:t>公开征集</w:t>
      </w:r>
    </w:p>
    <w:p w14:paraId="3B01FAAD">
      <w:pPr>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rPr>
          <w:rFonts w:ascii="Times New Roman" w:hAnsi="Times New Roman" w:eastAsia="仿宋_GB2312"/>
          <w:sz w:val="28"/>
          <w:szCs w:val="28"/>
        </w:rPr>
      </w:pPr>
      <w:r>
        <w:rPr>
          <w:rFonts w:ascii="Times New Roman" w:hAnsi="Times New Roman" w:eastAsia="仿宋_GB2312"/>
          <w:b/>
          <w:bCs/>
          <w:sz w:val="28"/>
          <w:szCs w:val="28"/>
        </w:rPr>
        <w:t>研究经费：</w:t>
      </w:r>
      <w:r>
        <w:rPr>
          <w:rFonts w:ascii="Times New Roman" w:hAnsi="Times New Roman" w:eastAsia="仿宋_GB2312"/>
          <w:sz w:val="28"/>
          <w:szCs w:val="28"/>
        </w:rPr>
        <w:t>90万元</w:t>
      </w:r>
    </w:p>
    <w:p w14:paraId="6127643E">
      <w:pPr>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ascii="Times New Roman" w:hAnsi="Times New Roman" w:eastAsia="仿宋_GB2312" w:cs="Times New Roman"/>
          <w:sz w:val="28"/>
          <w:szCs w:val="28"/>
        </w:rPr>
      </w:pPr>
      <w:r>
        <w:rPr>
          <w:rFonts w:hint="eastAsia" w:ascii="Times New Roman" w:hAnsi="Times New Roman" w:eastAsia="仿宋_GB2312" w:cs="Times New Roman"/>
          <w:b/>
          <w:bCs/>
          <w:sz w:val="28"/>
          <w:szCs w:val="28"/>
        </w:rPr>
        <w:t>课题联系人</w:t>
      </w:r>
      <w:r>
        <w:rPr>
          <w:rFonts w:hint="eastAsia" w:ascii="Times New Roman" w:hAnsi="Times New Roman" w:eastAsia="仿宋_GB2312" w:cs="Times New Roman"/>
          <w:sz w:val="28"/>
          <w:szCs w:val="28"/>
        </w:rPr>
        <w:t>：高育翠</w:t>
      </w:r>
      <w:r>
        <w:rPr>
          <w:rFonts w:ascii="Times New Roman" w:hAnsi="Times New Roman" w:eastAsia="仿宋_GB2312" w:cs="Times New Roman"/>
          <w:sz w:val="28"/>
          <w:szCs w:val="28"/>
        </w:rPr>
        <w:t xml:space="preserve"> gaoyucui@impcas.ac.cn</w:t>
      </w:r>
    </w:p>
    <w:p w14:paraId="23E621FE">
      <w:pPr>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F78A5"/>
    <w:multiLevelType w:val="multilevel"/>
    <w:tmpl w:val="268F78A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65A97"/>
    <w:rsid w:val="3E561A16"/>
    <w:rsid w:val="59637618"/>
    <w:rsid w:val="62765A97"/>
    <w:rsid w:val="65BA4B55"/>
    <w:rsid w:val="6F62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line="240" w:lineRule="auto"/>
    </w:pPr>
    <w:rPr>
      <w:rFonts w:ascii="Calibri" w:hAnsi="Calibri" w:eastAsia="宋体" w:cs="Times New Roman"/>
      <w:kern w:val="0"/>
      <w:sz w:val="24"/>
      <w14:ligatures w14:val="none"/>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591</Words>
  <Characters>720</Characters>
  <Lines>0</Lines>
  <Paragraphs>0</Paragraphs>
  <TotalTime>1</TotalTime>
  <ScaleCrop>false</ScaleCrop>
  <LinksUpToDate>false</LinksUpToDate>
  <CharactersWithSpaces>727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2025-11-07T02:39:00Z</dcterms:created>
  <dc:creator>鲁雲</dc:creator>
  <cp:lastModifiedBy>鲁雲</cp:lastModifiedBy>
  <dcterms:modified xsi:type="dcterms:W3CDTF">2025-11-07T05:48:36Z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549E49B8328547628D5E7777E000AA29_11</vt:lpwstr>
  </property>
  <property fmtid="{D5CDD505-2E9C-101B-9397-08002B2CF9AE}" pid="4" name="KSOTemplateDocerSaveRecord">
    <vt:lpwstr>eyJoZGlkIjoiYjU2ZmRlYjM0NWRlMDYyZDg2NTFiZDQ2OWQxNDE0YzciLCJ1c2VySWQiOiIzOTkzMDgzNTEifQ==</vt:lpwstr>
  </property>
</Properties>
</file>